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64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Срочное обращение российских правозащитных организаций к представителям Совета Европы в связи с принятием в Российской Федерации новых репрессивных законов и внесения законопроектов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направленных на дальнейшее ограничение пространства гражданского общества и основных прав и свобод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же Марии Пейчинович Бурич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Генеральному секретарю Совета Европы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14:textFill>
            <w14:solidFill>
              <w14:srgbClr w14:val="0563C1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Послу Рольфу Мафаэлу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Постоянному представителю Германии в Совете Европы 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ну Микаэлю Роту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Государственному министру по делам Европы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Специальному представителю Федерального правительства в Германском председательстве Комитета министров Совета Европы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Д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ру Лоренцу Барту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Главе отдела Совета Европы в Министерстве иностранных дел Германии 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же Дунье Миятович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Комиссару по правам человека Совета Европы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ну Рику Даемсу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Президенту Парламентской Ассамблеи Совета Европы 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ну </w:t>
      </w:r>
      <w:r>
        <w:rPr>
          <w:rFonts w:ascii="Calibri" w:hAnsi="Calibri" w:hint="default"/>
          <w:outline w:val="0"/>
          <w:color w:val="161616"/>
          <w:sz w:val="22"/>
          <w:szCs w:val="22"/>
          <w:u w:color="161616"/>
          <w:rtl w:val="0"/>
          <w:lang w:val="ru-RU"/>
          <w14:textFill>
            <w14:solidFill>
              <w14:srgbClr w14:val="161616"/>
            </w14:solidFill>
          </w14:textFill>
        </w:rPr>
        <w:t>Борису Цилевичу</w:t>
      </w:r>
      <w:r>
        <w:rPr>
          <w:rFonts w:ascii="Calibri" w:hAnsi="Calibri"/>
          <w:outline w:val="0"/>
          <w:color w:val="161616"/>
          <w:sz w:val="22"/>
          <w:szCs w:val="22"/>
          <w:u w:color="161616"/>
          <w:rtl w:val="0"/>
          <w14:textFill>
            <w14:solidFill>
              <w14:srgbClr w14:val="161616"/>
            </w14:solidFill>
          </w14:textFill>
        </w:rPr>
        <w:t>,</w:t>
      </w:r>
      <w:r>
        <w:rPr>
          <w:rFonts w:ascii="Calibri" w:hAnsi="Calibri" w:hint="default"/>
          <w:outline w:val="0"/>
          <w:color w:val="161616"/>
          <w:sz w:val="22"/>
          <w:szCs w:val="22"/>
          <w:u w:color="161616"/>
          <w:rtl w:val="0"/>
          <w:lang w:val="ru-RU"/>
          <w14:textFill>
            <w14:solidFill>
              <w14:srgbClr w14:val="161616"/>
            </w14:solidFill>
          </w14:textFill>
        </w:rPr>
        <w:t> 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Председателю Комитета ПАСЕ по правовым вопросам и правам человека 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ну </w:t>
      </w:r>
      <w:r>
        <w:rPr>
          <w:rFonts w:ascii="Calibri" w:hAnsi="Calibri" w:hint="default"/>
          <w:outline w:val="0"/>
          <w:color w:val="161616"/>
          <w:sz w:val="22"/>
          <w:szCs w:val="22"/>
          <w:u w:color="161616"/>
          <w:rtl w:val="0"/>
          <w:lang w:val="ru-RU"/>
          <w14:textFill>
            <w14:solidFill>
              <w14:srgbClr w14:val="161616"/>
            </w14:solidFill>
          </w14:textFill>
        </w:rPr>
        <w:t>Михаэлю Ааструпу Йенсену</w:t>
      </w:r>
      <w:r>
        <w:rPr>
          <w:rFonts w:ascii="Calibri" w:hAnsi="Calibri"/>
          <w:outline w:val="0"/>
          <w:color w:val="161616"/>
          <w:sz w:val="22"/>
          <w:szCs w:val="22"/>
          <w:u w:color="161616"/>
          <w:rtl w:val="0"/>
          <w14:textFill>
            <w14:solidFill>
              <w14:srgbClr w14:val="161616"/>
            </w14:solidFill>
          </w14:textFill>
        </w:rPr>
        <w:t>,</w:t>
      </w:r>
      <w:r>
        <w:rPr>
          <w:rFonts w:ascii="Calibri" w:hAnsi="Calibri" w:hint="default"/>
          <w:outline w:val="0"/>
          <w:color w:val="161616"/>
          <w:sz w:val="22"/>
          <w:szCs w:val="22"/>
          <w:u w:color="161616"/>
          <w:rtl w:val="0"/>
          <w:lang w:val="ru-RU"/>
          <w14:textFill>
            <w14:solidFill>
              <w14:srgbClr w14:val="161616"/>
            </w14:solidFill>
          </w14:textFill>
        </w:rPr>
        <w:t> 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Председателю Комитета ПАСЕ по мониторингу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Г</w:t>
      </w:r>
      <w:r>
        <w:rPr>
          <w:rFonts w:ascii="Calibri" w:hAnsi="Calibri"/>
          <w:sz w:val="22"/>
          <w:szCs w:val="22"/>
          <w:rtl w:val="0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>же Рие Оомен</w:t>
      </w:r>
      <w:r>
        <w:rPr>
          <w:rFonts w:ascii="Calibri" w:hAnsi="Calibri"/>
          <w:sz w:val="22"/>
          <w:szCs w:val="22"/>
          <w:rtl w:val="0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>Рюитен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со</w:t>
      </w:r>
      <w:r>
        <w:rPr>
          <w:rFonts w:ascii="Calibri" w:hAnsi="Calibri"/>
          <w:sz w:val="22"/>
          <w:szCs w:val="22"/>
          <w:rtl w:val="0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докладчице по Российской Федерации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Комитета ПАСЕ по мониторингу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444444"/>
          <w:sz w:val="22"/>
          <w:szCs w:val="22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ну </w:t>
      </w:r>
      <w:r>
        <w:rPr>
          <w:rFonts w:ascii="Calibri" w:hAnsi="Calibri" w:hint="default"/>
          <w:sz w:val="22"/>
          <w:szCs w:val="22"/>
          <w:rtl w:val="0"/>
          <w:lang w:val="ru-RU"/>
        </w:rPr>
        <w:t>Акселю Шаферу</w:t>
      </w:r>
      <w:r>
        <w:rPr>
          <w:rFonts w:ascii="Calibri" w:hAnsi="Calibri"/>
          <w:sz w:val="22"/>
          <w:szCs w:val="22"/>
          <w:rtl w:val="0"/>
        </w:rPr>
        <w:t>,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</w:t>
      </w:r>
      <w:r>
        <w:rPr>
          <w:rFonts w:ascii="Calibri" w:hAnsi="Calibri" w:hint="default"/>
          <w:sz w:val="22"/>
          <w:szCs w:val="22"/>
          <w:rtl w:val="0"/>
          <w:lang w:val="ru-RU"/>
        </w:rPr>
        <w:t>со</w:t>
      </w:r>
      <w:r>
        <w:rPr>
          <w:rFonts w:ascii="Calibri" w:hAnsi="Calibri"/>
          <w:sz w:val="22"/>
          <w:szCs w:val="22"/>
          <w:rtl w:val="0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докладчику по Российской Федерации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Комитета ПАСЕ по мониторингу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ну Александру Почей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Председателю Группы Европейской народной партии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ну Франку Швабе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Председателю Группы социалистов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демократов и зеленых 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ну Иэну Лидделл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Грейнджеру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Председателю Группы европейских консерваторов и демократического альянса 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ну Жаку Марэ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Председателю альянса либералов и демократов за Европу </w:t>
      </w:r>
    </w:p>
    <w:p>
      <w:pPr>
        <w:pStyle w:val="Body"/>
        <w:shd w:val="clear" w:color="auto" w:fill="ffffff"/>
        <w:spacing w:line="264" w:lineRule="auto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Г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ну Тини Коксу</w:t>
      </w:r>
      <w:r>
        <w:rPr>
          <w:rFonts w:ascii="Calibri" w:hAnsi="Calibri"/>
          <w:outline w:val="0"/>
          <w:color w:val="222222"/>
          <w:sz w:val="22"/>
          <w:szCs w:val="22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222222"/>
          <w:sz w:val="22"/>
          <w:szCs w:val="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Председателю Группы объединенных европейских левых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Тема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просьба о срочной критической реакции в рамках Совета Европы на принятие новых репрессивных законов в Российской Федерации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еще больше ограничивающих деятельность гражданского общества и основные права и свободы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24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2021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Уважаемые коллеги в Совете Европы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Мы обращаемся к Вам от имени группы из нескольких десятков российских правозащитных организаций и гражданских активистов в связи с новыми серьезными угрозами российскому гражданскому обществу и основным правам и свободам в нашей стране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Эти угрозы возникли в результате принятия в конце декабря целого пакета новых репрессивных законов и подготовки к принятию в ближайшее время ряда других репрессивных законопроектов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приложении кратко описаны основные угрозы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вытекающие из этих новых законодательных норм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Принятые в конце декабря законы и предложенные к принятию законопроекты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случае вступления их в силу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приведут к существенному усилению тотального контроля над российским обществом со стороны государства и росту преследования за инакомыслие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Открытая дискуссия в России по общественно значимым вопросам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уже и так маргинализованная ранее принятыми ограничительными законами и репрессивными практиками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будет окончательно сведена к минимуму под угрозой серьезных административных и уголовных наказаний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Создается юридическая база для запрета властями любых инициатив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критически оценивающих проводимую государством политику или даже отклоняющихся от нее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результате деятельность неправительственных организаций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общественных инициатив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СМИ и активных граждан будет еще больше ограничена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многие живущие в России люди будут лишены квалифицированной помощи в защите их гражданских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политических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социальных прав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права на здоровую среду обитания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получении услуг в области просвещения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здравоохранения и иных областях деятельности организаций гражданского общества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Очевидно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что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эти правовые инструменты направлены на дальнейшее подавление в России гражданского общества и ограничение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фундаментальных свобод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включая свободу ассоциаций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свободу мирных собраний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свободу выражение мнения и свободу распространения и получения информации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Непростое положение российского гражданского общества и российских граждан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подвергающихся постоянно растущему давлению в последнее десятилетие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еще больше ухудшится в результате применения этих норм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Мы убеждены в том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 эти законы и законопроекты неправомерно ограничивают конституционные права и свободы и противоречат международно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правовым обязательствам России в рамках Совета Европы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ООН и ОБСЕ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Мы ценим запрос об оценке этих законопроектов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направленный в декабре Комитетом ПАСЕ по правовым вопросам и правам человека в Венецианскую комиссию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Однако с того момента четыре первых закона уже были приняты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шесть других прошли первой чтение в Государственной Думе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Сейчас необходимо действовать более решительно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до принятия оценки Венецианской комиссии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иначе принятие этих законов окажет разрушительное воздействие на гражданское общество и основные права в России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связи с этим мы просим вас незамедлительно отреагировать на эти новые серьезные угрозы правам человека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верховенству права и демократии в России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Мы ожидаем от вас ясной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твердой и публичной реакции в рамках ваших полномочий в Совете Европы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которая включала бы в себя осуждение принятия этих законов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требование их отмены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также снятия с рассмотрения внесенных законопроектов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частности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мы предлагаем следующие действия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spacing w:line="264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принятие публичного заявления со стороны Генерального Секретаря Совета Европы и инициирование диалога по этой проблеме между Генеральным Секретарем и российскими властями с предложением содействия силами экспертов Совета Европы в приведении российского законодательства в соответствии с обязательствами России в рамках Совета Европы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Body"/>
        <w:numPr>
          <w:ilvl w:val="0"/>
          <w:numId w:val="2"/>
        </w:numPr>
        <w:bidi w:val="0"/>
        <w:spacing w:line="264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принятие публичного заявления со стороны германского Председательства Комитета министров Совета Европы и инициирование диалога по этой проблеме между германским Председательством Комитета министров и российскими властями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Body"/>
        <w:numPr>
          <w:ilvl w:val="0"/>
          <w:numId w:val="2"/>
        </w:numPr>
        <w:bidi w:val="0"/>
        <w:spacing w:line="264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принятие публичного заявления со стороны Председателя Парламентской Ассамблеи и инициирование диалога по этой проблеме между Председателем Ассамблеи и российскими властями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Body"/>
        <w:numPr>
          <w:ilvl w:val="0"/>
          <w:numId w:val="2"/>
        </w:numPr>
        <w:bidi w:val="0"/>
        <w:spacing w:line="264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принятие новое публичного заявления со стороны Комиссара по правам человека с более подробной оценкой всех принятых новых законов и внесенных законопроектов и инициирование диалога по этой проблеме между Комиссаром по правам человека и российскими властями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Body"/>
        <w:numPr>
          <w:ilvl w:val="0"/>
          <w:numId w:val="2"/>
        </w:numPr>
        <w:bidi w:val="0"/>
        <w:spacing w:line="264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принятие публичного заявления со стороны со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докладчиков по России Комитета ПАСЕ по мониторингу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Body"/>
        <w:numPr>
          <w:ilvl w:val="0"/>
          <w:numId w:val="2"/>
        </w:numPr>
        <w:bidi w:val="0"/>
        <w:spacing w:line="264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проведение критического обсуждения этой проблемы на январской сессии ПАСЕ и включение реакции на эту проблему в текст резолюции ПАСЕ об ограничениях на деятельность НПО в странах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членах Совета Европы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запланированной к принятию на январской сессии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также в текст резолюции ПАСЕ о реализации мониторинговой процедуры Ассамблеи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также запланированной к принятию на январской сессии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Body"/>
        <w:numPr>
          <w:ilvl w:val="0"/>
          <w:numId w:val="2"/>
        </w:numPr>
        <w:bidi w:val="0"/>
        <w:spacing w:line="264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подготовку письменной декларации членов ПАСЕ по этой проблеме на январской сессии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Body"/>
        <w:numPr>
          <w:ilvl w:val="0"/>
          <w:numId w:val="2"/>
        </w:numPr>
        <w:bidi w:val="0"/>
        <w:spacing w:line="264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направление письменного вопроса Комитету министров по этой проблеме членами ПАСЕ во время январской сессии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Body"/>
        <w:numPr>
          <w:ilvl w:val="0"/>
          <w:numId w:val="2"/>
        </w:numPr>
        <w:bidi w:val="0"/>
        <w:spacing w:line="264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включение реакции на эту проблему в текст готовящегося доклада Комитета ПАСЕ по мониторингу об исполнении Российской Федерацией ее обязательств и в проект соответствующей резолюции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Body"/>
        <w:numPr>
          <w:ilvl w:val="0"/>
          <w:numId w:val="2"/>
        </w:numPr>
        <w:bidi w:val="0"/>
        <w:spacing w:line="264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если ситуация не улучшится до апреля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рассмотрение вопроса о проведении срочных дебатов на апрельской сессии Ассамблеи и подготовке отдельной резолюции ПАСЕ по этой проблеме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Body"/>
        <w:numPr>
          <w:ilvl w:val="0"/>
          <w:numId w:val="2"/>
        </w:numPr>
        <w:bidi w:val="0"/>
        <w:spacing w:line="264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обсуждение этой проблемы в рамках Комитета министров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Body"/>
        <w:numPr>
          <w:ilvl w:val="0"/>
          <w:numId w:val="2"/>
        </w:numPr>
        <w:bidi w:val="0"/>
        <w:spacing w:line="264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другие возможные шаги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Растущее давление на гражданское общество и основные права и свободы в России должны стать предметом приоритетного внимания в рамках Совета Европы и двухсторонних отношений между странами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членами Совета Европы и Российской Федерации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Компромиссные решения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принятые Комитетом министров и Парламентской Ассамблеей весной и летом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2019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относительно снятия ограничительных мер в отношении российской делегации в ПАСЕ и продолжения участия Российской Федерации в Совете Европы были направлены на интенсификацию диалога с российскими властями с целью достижения ощутимого прогресса в выполнении принятых Россией обязательств в качестве члена Совета Европы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 сожалению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 прошедшие полтора года мы наблюдаем противоположный результат – дальнейшее ухудшение ситуации с правами человека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верховенством права и демократией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Принятие новых репрессивных законов еще больше ухудшает ситуацию в России и противоречит провозглашенным тогда в Совете Европы целям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Мы готовы предоставить более полный анализ этих законов и законопроектов и обсудить с вами возможные действия по реагированию на эти существенные угрозы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gjdgxs" w:id="0"/>
      <w:bookmarkEnd w:id="0"/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уважением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Наталья Таубина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директор Фонда «Общественный вердикт»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Юрий Джибладзе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президент Центра развития демократии и прав человека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Олег Орлов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член Совета Правозащитного центра «Мемориал»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член Правления Международного общества «Мемориал»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Светлана Ганнушкина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председатель Комитета «Гражданское содействие»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Светлана Астраханцева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исполнительный директор Московской Хельсинкской группы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line="264" w:lineRule="auto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Приложение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Краткий обзор принятых в Российской Федерации в конце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2020 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законах и готовящихся к принятию законопроектах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направленных на дальнейшее ограничение пространства гражданского общества и основных прав и свобод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ноябре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декабре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2020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года в Государственную Думу Российской Федерации был внесен пакет из более чем десяти законопроектов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вносящих изменения в законодательство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регулирующее деятельность неправительственных некоммерческих организаций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средств массовой информации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вопросы организации и проведения публичных мероприятий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меры по защите государственной тайны и противодействию угрозам безопасности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вводящих меры административной и уголовной ответственности за несоблюдение этих новых норм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30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декабря президент РФ подписал четыре новых закона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Body"/>
        <w:spacing w:line="264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 xml:space="preserve">Федеральный закон от </w:t>
      </w:r>
      <w:r>
        <w:rPr>
          <w:rFonts w:ascii="Calibri" w:hAnsi="Calibri"/>
          <w:sz w:val="22"/>
          <w:szCs w:val="22"/>
          <w:shd w:val="clear" w:color="auto" w:fill="ffffff"/>
          <w:rtl w:val="0"/>
        </w:rPr>
        <w:t xml:space="preserve">30.12.2020 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 xml:space="preserve">№ </w:t>
      </w:r>
      <w:r>
        <w:rPr>
          <w:rFonts w:ascii="Calibri" w:hAnsi="Calibri"/>
          <w:sz w:val="22"/>
          <w:szCs w:val="22"/>
          <w:shd w:val="clear" w:color="auto" w:fill="ffffff"/>
          <w:rtl w:val="0"/>
        </w:rPr>
        <w:t>481-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 xml:space="preserve">ФЗ 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ru-RU"/>
        </w:rPr>
        <w:t>"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О внесении изменений в отдельные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законодательные акты Российской Федерации в части установления дополнительных мер противодействия угрозам национальной безопасности</w:t>
      </w:r>
      <w:r>
        <w:rPr>
          <w:rFonts w:ascii="Calibri" w:hAnsi="Calibri"/>
          <w:sz w:val="22"/>
          <w:szCs w:val="22"/>
          <w:shd w:val="clear" w:color="auto" w:fill="ffffff"/>
          <w:rtl w:val="0"/>
        </w:rPr>
        <w:t>"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"http://publication.pravo.gov.ru/Document/View/0001202012300001"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http://publication.pravo.gov.ru/Document/View/0001202012300001</w:t>
      </w:r>
      <w:r>
        <w:rPr/>
        <w:fldChar w:fldCharType="end" w:fldLock="0"/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)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shd w:val="clear" w:color="auto" w:fill="ffffff"/>
          <w:rtl w:val="0"/>
          <w:lang w:val="ru-RU"/>
        </w:rPr>
        <w:t>существенно расширяет круг потенциальных «иностранных агентов»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.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Во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-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первых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,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shd w:val="clear" w:color="auto" w:fill="ffffff"/>
          <w:rtl w:val="0"/>
          <w:lang w:val="ru-RU"/>
        </w:rPr>
        <w:t>вводится понятие «иностранных агентов» – незарегистрированных общественных объединений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ведущих политическую деятельность и получающих иностранное финансирование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.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Создается отдельный реестр таких объединений и вводится их обязанность отчитываться о своей деятельности в этом качестве в Министерство юстиции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.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Во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-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вторых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,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shd w:val="clear" w:color="auto" w:fill="ffffff"/>
          <w:rtl w:val="0"/>
          <w:lang w:val="ru-RU"/>
        </w:rPr>
        <w:t xml:space="preserve">расширяется институт «иностранных агентов»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–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shd w:val="clear" w:color="auto" w:fill="ffffff"/>
          <w:rtl w:val="0"/>
          <w:lang w:val="ru-RU"/>
        </w:rPr>
        <w:t>физических лиц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.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К таким лицам вне зависимости от гражданства теперь будут относить тех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 xml:space="preserve">кто имеет иностранную поддержку и ведет на территории России в интересах иностранного источника политическую деятельность 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(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широкое определение политической деятельности в этом законе идентично тому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что дано в законодательстве об НКО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 xml:space="preserve">) 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или осуществляет целенаправленный сбор сведений в области военной и военно</w:t>
      </w:r>
      <w:r>
        <w:rPr>
          <w:rStyle w:val="None"/>
          <w:rFonts w:ascii="Calibri" w:hAnsi="Calibri"/>
          <w:sz w:val="22"/>
          <w:szCs w:val="22"/>
          <w:shd w:val="clear" w:color="auto" w:fill="ffffff"/>
          <w:rtl w:val="0"/>
        </w:rPr>
        <w:t>-</w:t>
      </w:r>
      <w:r>
        <w:rPr>
          <w:rStyle w:val="None"/>
          <w:rFonts w:ascii="Calibri" w:hAnsi="Calibri" w:hint="default"/>
          <w:sz w:val="22"/>
          <w:szCs w:val="22"/>
          <w:shd w:val="clear" w:color="auto" w:fill="ffffff"/>
          <w:rtl w:val="0"/>
          <w:lang w:val="ru-RU"/>
        </w:rPr>
        <w:t>технической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деятельности РФ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которые иностранный источник может использовать «против безопасности Российской Федерации»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отсутствии признаков преступлений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предусмотренных ст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275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УК 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государственная измена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ст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276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УК 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шпионаж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).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 Такие лица не смогут занимать должности на государственной и муниципальной службе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не могут быть допущены к государственной тайне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будут обязаны маркировать лейблом «иностранный агент» любые распространяемые ими материалы и регулярно направлять в государственные органы отчеты о своей деятельности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«связанной с выполнением функций иностранного агента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включая сведения о целях расходования денежных средств и использования иного имущества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полученных от иностранных источников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и об их фактическом расходовании и использовании»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.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Кроме того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согласно этому закону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все учредители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члены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участники и сотрудники НКО и незарегистрированных общественных объединений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внесенных в реестры «иностранных агентов» обязаны маркировать свою принадлежность к организации – «иностранному агенту» в любых публикуемых ими материалах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.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Средствам массовой информации запрещено публиковать любую информацию о таких НКО и незарегистрированных общественных объединениях без указания на то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что они включены в реестры «иностранных агентов»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.</w:t>
      </w:r>
    </w:p>
    <w:p>
      <w:pPr>
        <w:pStyle w:val="Body"/>
        <w:spacing w:line="264" w:lineRule="auto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"/>
        <w:spacing w:line="264" w:lineRule="auto"/>
        <w:jc w:val="bot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Федеральный закон от 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30.12.2020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№ </w:t>
      </w:r>
      <w:r>
        <w:rPr>
          <w:rStyle w:val="None"/>
          <w:rFonts w:ascii="Calibri" w:hAnsi="Calibri"/>
          <w:sz w:val="22"/>
          <w:szCs w:val="22"/>
          <w:rtl w:val="0"/>
        </w:rPr>
        <w:t>541-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ФЗ </w:t>
      </w:r>
      <w:r>
        <w:rPr>
          <w:rStyle w:val="None"/>
          <w:rFonts w:ascii="Calibri" w:hAnsi="Calibri"/>
          <w:sz w:val="22"/>
          <w:szCs w:val="22"/>
          <w:rtl w:val="0"/>
          <w:lang w:val="ru-RU"/>
        </w:rPr>
        <w:t>"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О внесении изменений в Федеральный закон </w:t>
      </w:r>
      <w:r>
        <w:rPr>
          <w:rStyle w:val="None"/>
          <w:rFonts w:ascii="Calibri" w:hAnsi="Calibri"/>
          <w:sz w:val="22"/>
          <w:szCs w:val="22"/>
          <w:rtl w:val="0"/>
          <w:lang w:val="ru-RU"/>
        </w:rPr>
        <w:t>"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О собраниях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митингах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демонстрациях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шествиях и пикетированиях</w:t>
      </w:r>
      <w:r>
        <w:rPr>
          <w:rStyle w:val="None"/>
          <w:rFonts w:ascii="Calibri" w:hAnsi="Calibri"/>
          <w:sz w:val="22"/>
          <w:szCs w:val="22"/>
          <w:rtl w:val="0"/>
        </w:rPr>
        <w:t>" 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"http://publication.pravo.gov.ru/Document/View/0001202012300051"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http://publication.pravo.gov.ru/Document/View/0001202012300051</w:t>
      </w:r>
      <w:r>
        <w:rPr/>
        <w:fldChar w:fldCharType="end" w:fldLock="0"/>
      </w:r>
      <w:r>
        <w:rPr>
          <w:rStyle w:val="None"/>
          <w:rFonts w:ascii="Calibri" w:hAnsi="Calibri"/>
          <w:sz w:val="22"/>
          <w:szCs w:val="22"/>
          <w:rtl w:val="0"/>
        </w:rPr>
        <w:t xml:space="preserve">)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существенно затрудняет  возможность организации  митингов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демонстраций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шествий и пикетов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 в Российской Федерации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вводя новые жесткие требования к процедуре их согласования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а также сбору и расходованию средств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предназначенных для проведения публичных мероприятий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.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Он прямо запрещает финансирование таких публичных мероприятий со стороны НКО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«исполняющих функции иностранного агента»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.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Насколько можно понять из закона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одним из возможных последствий такой новации станет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например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то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что Международное общество «Мемориал» больше не сможет собирать от граждан средства на проведение в Москве у Соловецкого камня ежегодной акции «Возвращение имен»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куда приходят тысячи людей в день Памяти жертв политических репрессий</w:t>
      </w:r>
      <w:r>
        <w:rPr>
          <w:rStyle w:val="None"/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line="264" w:lineRule="auto"/>
        <w:jc w:val="both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"/>
        <w:spacing w:line="264" w:lineRule="auto"/>
        <w:jc w:val="bot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Федеральный закон от 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30.12.2020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№ </w:t>
      </w:r>
      <w:r>
        <w:rPr>
          <w:rStyle w:val="None"/>
          <w:rFonts w:ascii="Calibri" w:hAnsi="Calibri"/>
          <w:sz w:val="22"/>
          <w:szCs w:val="22"/>
          <w:rtl w:val="0"/>
        </w:rPr>
        <w:t>538-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ФЗ «О внесении изменения в статью 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128-1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Уголовного кодекса Российской Федерации» </w:t>
      </w:r>
      <w:r>
        <w:rPr>
          <w:rStyle w:val="None"/>
          <w:rFonts w:ascii="Calibri" w:hAnsi="Calibri"/>
          <w:sz w:val="22"/>
          <w:szCs w:val="22"/>
          <w:rtl w:val="0"/>
        </w:rPr>
        <w:t>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"http://publication.pravo.gov.ru/Document/View/0001202012300058"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http://publication.pravo.gov.ru/Document/View/0001202012300058</w:t>
      </w:r>
      <w:r>
        <w:rPr/>
        <w:fldChar w:fldCharType="end" w:fldLock="0"/>
      </w:r>
      <w:r>
        <w:rPr>
          <w:rStyle w:val="None"/>
          <w:rFonts w:ascii="Calibri" w:hAnsi="Calibri"/>
          <w:sz w:val="22"/>
          <w:szCs w:val="22"/>
          <w:rtl w:val="0"/>
        </w:rPr>
        <w:t xml:space="preserve">)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вводит наказание за клевету в виде лишения свободы до пяти лет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.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Клевета была криминализирована в России ранее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в 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2012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г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.,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но до принятия этого закона лишение свободы в качестве наказания не был предусмотрено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Body"/>
        <w:spacing w:line="264" w:lineRule="auto"/>
        <w:jc w:val="both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"/>
        <w:spacing w:line="264" w:lineRule="auto"/>
        <w:jc w:val="bot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Федеральный закон от 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30.12.2020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№ </w:t>
      </w:r>
      <w:r>
        <w:rPr>
          <w:rStyle w:val="None"/>
          <w:rFonts w:ascii="Calibri" w:hAnsi="Calibri"/>
          <w:sz w:val="22"/>
          <w:szCs w:val="22"/>
          <w:rtl w:val="0"/>
        </w:rPr>
        <w:t>525-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ФЗ «О внесении изменения в статью 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330-1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Уголовного кодекса Российской Федерации» </w:t>
      </w:r>
      <w:r>
        <w:rPr>
          <w:rStyle w:val="None"/>
          <w:rFonts w:ascii="Calibri" w:hAnsi="Calibri"/>
          <w:sz w:val="22"/>
          <w:szCs w:val="22"/>
          <w:rtl w:val="0"/>
        </w:rPr>
        <w:t>(</w:t>
      </w:r>
      <w:r>
        <w:rPr>
          <w:rStyle w:val="Hyperlink.1"/>
          <w:rtl w:val="0"/>
          <w:lang w:val="en-US"/>
        </w:rPr>
        <w:t>http://publication.pravo.gov.ru/Document/View/0001202012300043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)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вводит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уголовную ответственность за злостное нарушение обязанностей «иностранного агента» с наказанием до пяти лет лишения свободы</w:t>
      </w:r>
      <w:r>
        <w:rPr>
          <w:rStyle w:val="None"/>
          <w:rFonts w:ascii="Calibri" w:hAnsi="Calibri"/>
          <w:sz w:val="22"/>
          <w:szCs w:val="22"/>
          <w:rtl w:val="0"/>
        </w:rPr>
        <w:t>.</w:t>
      </w:r>
    </w:p>
    <w:p>
      <w:pPr>
        <w:pStyle w:val="Body"/>
        <w:spacing w:line="264" w:lineRule="auto"/>
        <w:jc w:val="both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"/>
        <w:spacing w:line="264" w:lineRule="auto"/>
        <w:jc w:val="bot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Еще шесть законопроектов прошли первое чтение в Государственной думе и их дальнейшее рассмотрение может продолжиться в конце января</w:t>
      </w:r>
      <w:r>
        <w:rPr>
          <w:rStyle w:val="None"/>
          <w:rFonts w:ascii="Calibri" w:hAnsi="Calibri"/>
          <w:sz w:val="22"/>
          <w:szCs w:val="22"/>
          <w:rtl w:val="0"/>
        </w:rPr>
        <w:t>:</w:t>
      </w:r>
    </w:p>
    <w:p>
      <w:pPr>
        <w:pStyle w:val="Body"/>
        <w:spacing w:line="264" w:lineRule="auto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"/>
        <w:spacing w:line="264" w:lineRule="auto"/>
        <w:jc w:val="both"/>
        <w:rPr>
          <w:rStyle w:val="None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Законопроект 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"https://sozd.duma.gov.ru/bill/1052523-7"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https://sozd.duma.gov.ru/bill/1052523-7</w:t>
      </w:r>
      <w:r>
        <w:rPr/>
        <w:fldChar w:fldCharType="end" w:fldLock="0"/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предлагает обязать неправительственные организации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включенные в «реестр иностранных агентов»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предварительно представлять в Министерство юстиции свои программы и «иные документы» о планируемых мероприятиях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а после их реализации 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отчеты об их исполнении 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или информацию о том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 они не проводились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этом </w:t>
      </w:r>
      <w:r>
        <w:rPr>
          <w:rStyle w:val="None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Министерство юстиции наделяется правом запрещать этим организациям осуществлять их программы</w:t>
      </w:r>
      <w:r>
        <w:rPr>
          <w:rStyle w:val="None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перечень оснований для такого запрета не указан</w:t>
      </w:r>
      <w:r>
        <w:rPr>
          <w:rStyle w:val="None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 невыполнении запрета Министерство юстиции может незамедлительно подать в суд исковое заявление о ликвидации организации</w:t>
      </w:r>
      <w:r>
        <w:rPr>
          <w:rStyle w:val="None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Таким образом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власти смогут поставить НКО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«иностранного агента» перед выбором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прекращение деятельности путем выполнения запрета Министерства на проведения мероприятий или ликвидация организации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Любой из вариантов означает фактическое уничтожение НКО</w:t>
      </w:r>
      <w:r>
        <w:rPr>
          <w:rStyle w:val="None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spacing w:line="264" w:lineRule="auto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auto"/>
        <w:jc w:val="both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Законопроект </w:t>
      </w:r>
      <w:r>
        <w:rPr>
          <w:rStyle w:val="None"/>
          <w:rFonts w:ascii="Calibri" w:hAnsi="Calibri"/>
          <w:sz w:val="22"/>
          <w:szCs w:val="22"/>
          <w:rtl w:val="0"/>
        </w:rPr>
        <w:t>(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"https://sozd.duma.gov.ru/bill/1057895-7"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https://sozd.duma.gov.ru/bill/1057895-7</w:t>
      </w:r>
      <w:r>
        <w:rPr/>
        <w:fldChar w:fldCharType="end" w:fldLock="0"/>
      </w:r>
      <w:r>
        <w:rPr>
          <w:rStyle w:val="None"/>
          <w:rFonts w:ascii="Calibri" w:hAnsi="Calibri"/>
          <w:sz w:val="22"/>
          <w:szCs w:val="22"/>
          <w:rtl w:val="0"/>
        </w:rPr>
        <w:t xml:space="preserve">)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предлагает поправки к Федеральному закону «Об образовании в Российской Федерации»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которые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вводят контроль и регламентацию со стороны Правительства любой просветительской деятельности и резко ограничивают свободу образовательных организаций в области международного сотрудничества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.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Определение «просветительской деятельности»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сформулированное в этом законопроекте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включает в себя любые формы и виды распространения информации и не ограничивается системой образовательных организаций и даже образовательным дискурсом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.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Этими поправками в закон «Об образовании» включаются вопросы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далеко выходящие за пределы образовательной сферы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тем самым власти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открывают широкие возможности для произвольного и неправомерного ущемления права на свободу получения и распространения информации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.</w:t>
      </w:r>
    </w:p>
    <w:p>
      <w:pPr>
        <w:pStyle w:val="Body"/>
        <w:spacing w:line="264" w:lineRule="auto"/>
        <w:jc w:val="both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"/>
        <w:spacing w:line="264" w:lineRule="auto"/>
        <w:jc w:val="both"/>
      </w:pP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 xml:space="preserve">Еще четыре законопроекта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вводят разнообразные наказания за несоблюдение описанных выше ограничений и норм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налагаемые на физических лиц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  <w:r>
        <w:rPr>
          <w:rStyle w:val="None"/>
          <w:rFonts w:ascii="Calibri" w:hAnsi="Calibri" w:hint="default"/>
          <w:sz w:val="22"/>
          <w:szCs w:val="22"/>
          <w:rtl w:val="0"/>
          <w:lang w:val="ru-RU"/>
        </w:rPr>
        <w:t>должностных лиц и юридических лиц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247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rPr>
        <w:sz w:val="18"/>
        <w:szCs w:val="18"/>
      </w:rPr>
    </w:pPr>
    <w:r>
      <w:rPr>
        <w:sz w:val="18"/>
        <w:szCs w:val="18"/>
        <w:rtl w:val="0"/>
        <w:lang w:val="ru-RU"/>
      </w:rPr>
      <w:t xml:space="preserve">Этот материал выпущен МОО ПЦ </w:t>
    </w:r>
    <w:r>
      <w:rPr>
        <w:sz w:val="18"/>
        <w:szCs w:val="18"/>
        <w:rtl w:val="0"/>
        <w:lang w:val="ru-RU"/>
      </w:rPr>
      <w:t>"</w:t>
    </w:r>
    <w:r>
      <w:rPr>
        <w:sz w:val="18"/>
        <w:szCs w:val="18"/>
        <w:rtl w:val="0"/>
        <w:lang w:val="ru-RU"/>
      </w:rPr>
      <w:t>Мемориал</w:t>
    </w:r>
    <w:r>
      <w:rPr>
        <w:sz w:val="18"/>
        <w:szCs w:val="18"/>
        <w:rtl w:val="0"/>
      </w:rPr>
      <w:t xml:space="preserve">", </w:t>
    </w:r>
    <w:r>
      <w:rPr>
        <w:sz w:val="18"/>
        <w:szCs w:val="18"/>
        <w:rtl w:val="0"/>
        <w:lang w:val="ru-RU"/>
      </w:rPr>
      <w:t>который внесен в реестр</w:t>
    </w:r>
    <w:r>
      <w:rPr>
        <w:sz w:val="18"/>
        <w:szCs w:val="18"/>
        <w:rtl w:val="0"/>
      </w:rPr>
      <w:t xml:space="preserve">, </w:t>
    </w:r>
    <w:r>
      <w:rPr>
        <w:sz w:val="18"/>
        <w:szCs w:val="18"/>
        <w:rtl w:val="0"/>
        <w:lang w:val="ru-RU"/>
      </w:rPr>
      <w:t>предусмотренный ст</w:t>
    </w:r>
    <w:r>
      <w:rPr>
        <w:sz w:val="18"/>
        <w:szCs w:val="18"/>
        <w:rtl w:val="0"/>
      </w:rPr>
      <w:t xml:space="preserve">. 13.1.10 </w:t>
    </w:r>
    <w:r>
      <w:rPr>
        <w:sz w:val="18"/>
        <w:szCs w:val="18"/>
        <w:rtl w:val="0"/>
      </w:rPr>
      <w:t xml:space="preserve">ФЗ </w:t>
    </w:r>
    <w:r>
      <w:rPr>
        <w:sz w:val="18"/>
        <w:szCs w:val="18"/>
        <w:rtl w:val="0"/>
        <w:lang w:val="ru-RU"/>
      </w:rPr>
      <w:t>"</w:t>
    </w:r>
    <w:r>
      <w:rPr>
        <w:sz w:val="18"/>
        <w:szCs w:val="18"/>
        <w:rtl w:val="0"/>
      </w:rPr>
      <w:t>Об НКО</w:t>
    </w:r>
    <w:r>
      <w:rPr>
        <w:sz w:val="18"/>
        <w:szCs w:val="18"/>
        <w:rtl w:val="0"/>
        <w:lang w:val="ru-RU"/>
      </w:rPr>
      <w:t>".</w:t>
    </w:r>
  </w:p>
  <w:p>
    <w:pPr>
      <w:pStyle w:val="Body"/>
    </w:pPr>
    <w:r>
      <w:rPr>
        <w:sz w:val="18"/>
        <w:szCs w:val="18"/>
        <w:rtl w:val="0"/>
        <w:lang w:val="ru-RU"/>
      </w:rPr>
      <w:t>Мы обжалуем это решение</w:t>
    </w:r>
    <w:r>
      <w:rPr>
        <w:sz w:val="18"/>
        <w:szCs w:val="18"/>
        <w:rtl w:val="0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−"/>
      <w:lvlJc w:val="left"/>
      <w:pPr>
        <w:ind w:left="28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4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0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070c0"/>
      <w:sz w:val="22"/>
      <w:szCs w:val="22"/>
      <w:u w:color="0070c0"/>
      <w:shd w:val="clear" w:color="auto" w:fill="ffffff"/>
      <w14:textFill>
        <w14:solidFill>
          <w14:srgbClr w14:val="0070C0"/>
        </w14:solidFill>
      </w14:textFill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outline w:val="0"/>
      <w:color w:val="0070c0"/>
      <w:sz w:val="22"/>
      <w:szCs w:val="22"/>
      <w:u w:color="0070c0"/>
      <w14:textFill>
        <w14:solidFill>
          <w14:srgbClr w14:val="0070C0"/>
        </w14:solidFill>
      </w14:textFill>
    </w:rPr>
  </w:style>
  <w:style w:type="character" w:styleId="Hyperlink.2">
    <w:name w:val="Hyperlink.2"/>
    <w:basedOn w:val="None"/>
    <w:next w:val="Hyperlink.2"/>
    <w:rPr>
      <w:rFonts w:ascii="Calibri" w:cs="Calibri" w:hAnsi="Calibri" w:eastAsia="Calibri"/>
      <w:caps w:val="0"/>
      <w:smallCaps w:val="0"/>
      <w:strike w:val="0"/>
      <w:dstrike w:val="0"/>
      <w:outline w:val="0"/>
      <w:color w:val="0000ff"/>
      <w:sz w:val="22"/>
      <w:szCs w:val="22"/>
      <w:u w:val="single" w:color="0000ff"/>
      <w:shd w:val="nil" w:color="auto" w:fill="auto"/>
      <w:vertAlign w:val="baseline"/>
      <w14:textFill>
        <w14:solidFill>
          <w14:srgbClr w14:val="0000FF"/>
        </w14:solidFill>
      </w14:textFill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